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87</w:t>
      </w:r>
      <w:r w:rsidR="00715976">
        <w:rPr>
          <w:rFonts w:ascii="Arial" w:hAnsi="Arial" w:cs="Arial"/>
          <w:b/>
          <w:caps/>
          <w:sz w:val="22"/>
          <w:szCs w:val="22"/>
          <w:lang w:val="es-MX"/>
        </w:rPr>
        <w:t>.-</w:t>
      </w:r>
      <w:r w:rsidRPr="002B7E4F">
        <w:rPr>
          <w:rFonts w:ascii="Arial" w:hAnsi="Arial" w:cs="Arial"/>
          <w:b/>
          <w:caps/>
          <w:sz w:val="22"/>
          <w:szCs w:val="22"/>
          <w:lang w:val="es-MX"/>
        </w:rPr>
        <w:t xml:space="preserve"> Arreglo de succión.</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Línea hidráulica de succión con tubería de cobre tipo M 50mm, pichancha, conectores, accesorios mano de obra, instalación y pruebas. El precio unitario incluye: materiales, accesorios, válvula angular, instalación, mano de obra, pruebas, equipo y herramienta, limpieza del área de trabajo y todo lo necesario para su correcta ejecución. </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1"/>
        </w:numPr>
        <w:rPr>
          <w:rFonts w:ascii="Arial" w:hAnsi="Arial" w:cs="Arial"/>
          <w:b/>
          <w:sz w:val="22"/>
          <w:szCs w:val="22"/>
        </w:rPr>
      </w:pPr>
      <w:bookmarkStart w:id="1" w:name="_Toc368180048"/>
      <w:r w:rsidRPr="002B7E4F">
        <w:rPr>
          <w:rFonts w:ascii="Arial" w:hAnsi="Arial" w:cs="Arial"/>
          <w:b/>
          <w:sz w:val="22"/>
          <w:szCs w:val="22"/>
        </w:rPr>
        <w:t>Características Técnicas.</w:t>
      </w:r>
      <w:bookmarkEnd w:id="1"/>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1"/>
        </w:numPr>
        <w:rPr>
          <w:spacing w:val="-1"/>
          <w:sz w:val="22"/>
          <w:szCs w:val="22"/>
        </w:rPr>
      </w:pPr>
      <w:bookmarkStart w:id="2" w:name="_Toc368180049"/>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tubería de cobre se tiene lo siguiente:</w:t>
      </w:r>
    </w:p>
    <w:p w:rsidR="002B7E4F" w:rsidRPr="002B7E4F" w:rsidRDefault="002B7E4F" w:rsidP="002B7E4F">
      <w:pPr>
        <w:jc w:val="both"/>
        <w:rPr>
          <w:rFonts w:ascii="Arial" w:hAnsi="Arial" w:cs="Arial"/>
          <w:sz w:val="22"/>
          <w:szCs w:val="22"/>
        </w:rPr>
      </w:pPr>
    </w:p>
    <w:p w:rsidR="002B7E4F" w:rsidRPr="002B7E4F" w:rsidRDefault="007B4B81" w:rsidP="002B7E4F">
      <w:pPr>
        <w:jc w:val="both"/>
        <w:rPr>
          <w:rFonts w:ascii="Arial" w:hAnsi="Arial" w:cs="Arial"/>
          <w:sz w:val="22"/>
          <w:szCs w:val="22"/>
        </w:rPr>
      </w:pPr>
      <w:r>
        <w:rPr>
          <w:rFonts w:ascii="Arial" w:hAnsi="Arial" w:cs="Arial"/>
          <w:noProof/>
          <w:sz w:val="22"/>
          <w:szCs w:val="22"/>
          <w:lang w:eastAsia="en-US"/>
        </w:rPr>
        <w:pict>
          <v:rect id="_x0000_s1031" style="position:absolute;left:0;text-align:left;margin-left:8.5pt;margin-top:188.75pt;width:394.4pt;height:23.15pt;z-index:251674624"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158740" cy="3493770"/>
            <wp:effectExtent l="19050" t="0" r="381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srcRect/>
                    <a:stretch>
                      <a:fillRect/>
                    </a:stretch>
                  </pic:blipFill>
                  <pic:spPr bwMode="auto">
                    <a:xfrm>
                      <a:off x="0" y="0"/>
                      <a:ext cx="5158740" cy="349377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pichancha:</w:t>
      </w:r>
    </w:p>
    <w:p w:rsidR="002B7E4F" w:rsidRPr="002B7E4F" w:rsidRDefault="002B7E4F" w:rsidP="002B7E4F">
      <w:pPr>
        <w:jc w:val="both"/>
        <w:rPr>
          <w:rFonts w:ascii="Arial" w:hAnsi="Arial" w:cs="Arial"/>
          <w:sz w:val="22"/>
          <w:szCs w:val="22"/>
        </w:rPr>
      </w:pPr>
    </w:p>
    <w:p w:rsidR="002B7E4F" w:rsidRPr="002B7E4F" w:rsidRDefault="007B4B81" w:rsidP="002B7E4F">
      <w:pPr>
        <w:jc w:val="both"/>
        <w:rPr>
          <w:rFonts w:ascii="Arial" w:hAnsi="Arial" w:cs="Arial"/>
          <w:sz w:val="22"/>
          <w:szCs w:val="22"/>
        </w:rPr>
      </w:pPr>
      <w:r>
        <w:rPr>
          <w:rFonts w:ascii="Arial" w:hAnsi="Arial" w:cs="Arial"/>
          <w:noProof/>
          <w:sz w:val="22"/>
          <w:szCs w:val="22"/>
          <w:lang w:eastAsia="en-US"/>
        </w:rPr>
        <w:lastRenderedPageBreak/>
        <w:pict>
          <v:rect id="_x0000_s1032" style="position:absolute;left:0;text-align:left;margin-left:288.9pt;margin-top:215.2pt;width:36pt;height:82.2pt;z-index:251675648"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4710" cy="3795395"/>
            <wp:effectExtent l="19050" t="0" r="889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srcRect/>
                    <a:stretch>
                      <a:fillRect/>
                    </a:stretch>
                  </pic:blipFill>
                  <pic:spPr bwMode="auto">
                    <a:xfrm>
                      <a:off x="0" y="0"/>
                      <a:ext cx="5934710" cy="379539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11"/>
        </w:numPr>
        <w:tabs>
          <w:tab w:val="clear" w:pos="1440"/>
          <w:tab w:val="num" w:pos="851"/>
        </w:tabs>
        <w:ind w:left="851" w:hanging="851"/>
        <w:rPr>
          <w:rFonts w:ascii="Arial" w:hAnsi="Arial" w:cs="Arial"/>
          <w:b/>
          <w:sz w:val="22"/>
          <w:szCs w:val="22"/>
        </w:rPr>
      </w:pPr>
      <w:bookmarkStart w:id="3" w:name="_Toc368180050"/>
      <w:r w:rsidRPr="002B7E4F">
        <w:rPr>
          <w:rFonts w:ascii="Arial" w:hAnsi="Arial" w:cs="Arial"/>
          <w:b/>
          <w:sz w:val="22"/>
          <w:szCs w:val="22"/>
        </w:rPr>
        <w:t>Ejecución de Obra</w:t>
      </w:r>
      <w:bookmarkEnd w:id="3"/>
    </w:p>
    <w:p w:rsidR="002B7E4F" w:rsidRPr="002B7E4F" w:rsidRDefault="002B7E4F" w:rsidP="00462F48">
      <w:pPr>
        <w:pStyle w:val="TITULO-4"/>
        <w:numPr>
          <w:ilvl w:val="3"/>
          <w:numId w:val="11"/>
        </w:numPr>
        <w:rPr>
          <w:sz w:val="22"/>
          <w:szCs w:val="22"/>
        </w:rPr>
      </w:pPr>
      <w:bookmarkStart w:id="4" w:name="_Toc368180051"/>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 Línea de Succión de bombeo para la cisterna de agua potable contemplados en 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realizaran reuniones para establecer los procesos y periodos de instalación, con el fin de cumplir en tiempo y forma con el Programa de Obra establecido, también se </w:t>
      </w:r>
      <w:r w:rsidRPr="002B7E4F">
        <w:rPr>
          <w:rFonts w:ascii="Arial" w:hAnsi="Arial" w:cs="Arial"/>
          <w:sz w:val="22"/>
          <w:szCs w:val="22"/>
        </w:rPr>
        <w:lastRenderedPageBreak/>
        <w:t>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Arreglo de Succión del sistema de bombeo de la cisterna de agua potable.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1"/>
        </w:numPr>
        <w:rPr>
          <w:sz w:val="22"/>
          <w:szCs w:val="22"/>
        </w:rPr>
      </w:pPr>
      <w:bookmarkStart w:id="5" w:name="_Toc368180052"/>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1"/>
        </w:numPr>
        <w:rPr>
          <w:sz w:val="22"/>
          <w:szCs w:val="22"/>
        </w:rPr>
      </w:pPr>
      <w:bookmarkStart w:id="6" w:name="_Toc368180053"/>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Arreglo de Succión para el sistema de bombeo de agua </w:t>
      </w:r>
      <w:proofErr w:type="spellStart"/>
      <w:r w:rsidRPr="002B7E4F">
        <w:rPr>
          <w:rFonts w:ascii="Arial" w:hAnsi="Arial" w:cs="Arial"/>
          <w:sz w:val="22"/>
          <w:szCs w:val="22"/>
        </w:rPr>
        <w:t>portable</w:t>
      </w:r>
      <w:proofErr w:type="spellEnd"/>
      <w:r w:rsidRPr="002B7E4F">
        <w:rPr>
          <w:rFonts w:ascii="Arial" w:hAnsi="Arial" w:cs="Arial"/>
          <w:sz w:val="22"/>
          <w:szCs w:val="22"/>
        </w:rPr>
        <w:t xml:space="preserve"> deberá ejecutarse en base al arreglo definido en el proyecto ejecutivo. Se deberán de </w:t>
      </w:r>
      <w:proofErr w:type="spellStart"/>
      <w:r w:rsidRPr="002B7E4F">
        <w:rPr>
          <w:rFonts w:ascii="Arial" w:hAnsi="Arial" w:cs="Arial"/>
          <w:sz w:val="22"/>
          <w:szCs w:val="22"/>
        </w:rPr>
        <w:t>instalara</w:t>
      </w:r>
      <w:proofErr w:type="spellEnd"/>
      <w:r w:rsidRPr="002B7E4F">
        <w:rPr>
          <w:rFonts w:ascii="Arial" w:hAnsi="Arial" w:cs="Arial"/>
          <w:sz w:val="22"/>
          <w:szCs w:val="22"/>
        </w:rPr>
        <w:t xml:space="preserve"> las tuberías que tengan que ir ahogados en pisos o losas. Esta previsión evitará que se tengan que romper los pisos o elementos estructurales y con ello su posible debilitamiento. La preparación de las salidas hidráulicas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en todas las posiciones verticales y horizontales </w:t>
      </w:r>
      <w:proofErr w:type="gramStart"/>
      <w:r w:rsidRPr="002B7E4F">
        <w:rPr>
          <w:rFonts w:ascii="Arial" w:hAnsi="Arial" w:cs="Arial"/>
          <w:sz w:val="22"/>
          <w:szCs w:val="22"/>
        </w:rPr>
        <w:t>necesarios</w:t>
      </w:r>
      <w:proofErr w:type="gram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hidráulicas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del arreglo de succión para el sistema de bombeo de agua potable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del arreglo de succión para el sistema de bombeo de agua potable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1"/>
        </w:numPr>
        <w:tabs>
          <w:tab w:val="clear" w:pos="1440"/>
          <w:tab w:val="num" w:pos="851"/>
        </w:tabs>
        <w:ind w:left="851" w:hanging="851"/>
        <w:rPr>
          <w:rFonts w:ascii="Arial" w:hAnsi="Arial" w:cs="Arial"/>
          <w:b/>
          <w:sz w:val="22"/>
          <w:szCs w:val="22"/>
        </w:rPr>
      </w:pPr>
      <w:bookmarkStart w:id="7" w:name="_Toc368180054"/>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El concepto arreglo de succión para el sistema de bombeo de agua potable se medirán por unidad de  salida y contemplará el conjunto de accesorios, tuberías, elementos de conexión, materiales de fijación, trazos, nivelaciones, pruebas que en su conjunto coadyuven al correcto funcionamiento de la Arreglos de succión para el sistema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1"/>
        </w:numPr>
        <w:tabs>
          <w:tab w:val="clear" w:pos="1440"/>
          <w:tab w:val="num" w:pos="851"/>
        </w:tabs>
        <w:ind w:left="851" w:hanging="851"/>
        <w:rPr>
          <w:rFonts w:ascii="Arial" w:hAnsi="Arial" w:cs="Arial"/>
          <w:b/>
          <w:sz w:val="22"/>
          <w:szCs w:val="22"/>
        </w:rPr>
      </w:pPr>
      <w:bookmarkStart w:id="8" w:name="_Toc368180055"/>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del arreglo de succión para el sistema de bombeo de agua potable.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lastRenderedPageBreak/>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11"/>
        </w:numPr>
        <w:rPr>
          <w:sz w:val="22"/>
          <w:szCs w:val="22"/>
        </w:rPr>
      </w:pPr>
      <w:bookmarkStart w:id="9" w:name="_Toc368180056"/>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1"/>
        </w:numPr>
        <w:rPr>
          <w:sz w:val="22"/>
          <w:szCs w:val="22"/>
        </w:rPr>
      </w:pPr>
      <w:bookmarkStart w:id="10" w:name="_Toc368180057"/>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arreglo de succión para el sistema de bombeo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1"/>
        </w:numPr>
        <w:tabs>
          <w:tab w:val="clear" w:pos="1440"/>
          <w:tab w:val="num" w:pos="851"/>
        </w:tabs>
        <w:ind w:left="851" w:hanging="851"/>
        <w:rPr>
          <w:rFonts w:ascii="Arial" w:hAnsi="Arial" w:cs="Arial"/>
          <w:b/>
          <w:sz w:val="22"/>
          <w:szCs w:val="22"/>
        </w:rPr>
      </w:pPr>
      <w:bookmarkStart w:id="11" w:name="_Toc368180058"/>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B4B8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4B81"/>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96D07-4E2A-426F-AC06-8323B7C40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1536</Words>
  <Characters>8451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2014-04-10T22:06:00Z</dcterms:created>
  <dcterms:modified xsi:type="dcterms:W3CDTF">2014-04-10T22:06:00Z</dcterms:modified>
</cp:coreProperties>
</file>